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3EED318E" w:rsidR="006D38E2" w:rsidRPr="002C2D3A" w:rsidRDefault="003C6695" w:rsidP="006F4B1F">
            <w:pPr>
              <w:pStyle w:val="Prrafodelista"/>
              <w:numPr>
                <w:ilvl w:val="0"/>
                <w:numId w:val="4"/>
              </w:numPr>
              <w:spacing w:after="0" w:line="276" w:lineRule="auto"/>
              <w:rPr>
                <w:b/>
                <w:bCs/>
                <w:color w:val="FFFFFF" w:themeColor="background1"/>
              </w:rPr>
            </w:pPr>
            <w:r>
              <w:rPr>
                <w:b/>
                <w:bCs/>
                <w:color w:val="FFFFFF" w:themeColor="background1"/>
              </w:rPr>
              <w:t xml:space="preserve"> </w:t>
            </w:r>
            <w:r w:rsidR="006D38E2"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75F0EE0C" w:rsidR="00A70556" w:rsidRDefault="00AA5415" w:rsidP="0034573D">
            <w:pPr>
              <w:spacing w:after="0" w:line="276" w:lineRule="auto"/>
            </w:pPr>
            <w:r>
              <w:t>E004 Seguridad Vial</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0E76CB" w14:paraId="1D014C1E" w14:textId="77777777" w:rsidTr="009F4211">
        <w:trPr>
          <w:trHeight w:val="340"/>
        </w:trPr>
        <w:tc>
          <w:tcPr>
            <w:tcW w:w="4712" w:type="dxa"/>
            <w:gridSpan w:val="2"/>
            <w:shd w:val="clear" w:color="auto" w:fill="auto"/>
            <w:vAlign w:val="center"/>
          </w:tcPr>
          <w:p w14:paraId="404D8B68" w14:textId="41AB4591" w:rsidR="00B861E0" w:rsidRPr="000E76CB" w:rsidRDefault="00AA5415" w:rsidP="00A123E6">
            <w:pPr>
              <w:spacing w:after="0" w:line="276" w:lineRule="auto"/>
              <w:jc w:val="center"/>
            </w:pPr>
            <w:r w:rsidRPr="000E76CB">
              <w:t>01/01/2024</w:t>
            </w:r>
          </w:p>
        </w:tc>
        <w:tc>
          <w:tcPr>
            <w:tcW w:w="5206" w:type="dxa"/>
            <w:gridSpan w:val="2"/>
            <w:shd w:val="clear" w:color="auto" w:fill="auto"/>
            <w:vAlign w:val="center"/>
          </w:tcPr>
          <w:p w14:paraId="79E9E4F4" w14:textId="4DAE42A3" w:rsidR="00B861E0" w:rsidRPr="000E76CB" w:rsidRDefault="00AA5415" w:rsidP="00A123E6">
            <w:pPr>
              <w:spacing w:after="0" w:line="276" w:lineRule="auto"/>
              <w:jc w:val="center"/>
            </w:pPr>
            <w:r w:rsidRPr="000E76CB">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AA5415" w14:paraId="37454C6A" w14:textId="77777777" w:rsidTr="00E06043">
        <w:trPr>
          <w:trHeight w:val="340"/>
        </w:trPr>
        <w:tc>
          <w:tcPr>
            <w:tcW w:w="9918" w:type="dxa"/>
            <w:gridSpan w:val="4"/>
            <w:shd w:val="clear" w:color="auto" w:fill="auto"/>
          </w:tcPr>
          <w:p w14:paraId="78C4F704" w14:textId="5431E8D4" w:rsidR="009F4211" w:rsidRPr="00AA5415" w:rsidRDefault="00AA5415" w:rsidP="009F4211">
            <w:pPr>
              <w:pStyle w:val="Prrafodelista"/>
              <w:spacing w:after="0" w:line="276" w:lineRule="auto"/>
              <w:ind w:left="37"/>
              <w:jc w:val="both"/>
            </w:pPr>
            <w:r w:rsidRPr="00AA5415">
              <w:t>Lic. Abel Manjarrez Campos, Coordinador Administrativo</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4C5EC6C9" w:rsidR="00B920F2" w:rsidRDefault="00AA5415" w:rsidP="00521401">
      <w:pPr>
        <w:pStyle w:val="Prrafodelista"/>
        <w:spacing w:after="0" w:line="276" w:lineRule="auto"/>
        <w:ind w:left="142"/>
        <w:jc w:val="both"/>
      </w:pPr>
      <w:r w:rsidRPr="00AA5415">
        <w:t>Contribuir a la mejora de la consistencia y orientación a resultados del programa presupuestario (Pp) E004 Seguridad Vial, a través del análisis y valoración de los elementos que integran su diseño, planeación e implementación, a fin de generar información relevante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2803D93B" w14:textId="77777777" w:rsidR="00AA5415" w:rsidRDefault="00AA5415" w:rsidP="00AA5415">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36B179E9" w14:textId="77777777" w:rsidR="00AA5415" w:rsidRDefault="00AA5415" w:rsidP="00AA5415">
      <w:pPr>
        <w:pStyle w:val="Prrafodelista"/>
        <w:numPr>
          <w:ilvl w:val="0"/>
          <w:numId w:val="2"/>
        </w:numPr>
        <w:spacing w:after="0" w:line="276" w:lineRule="auto"/>
        <w:jc w:val="both"/>
      </w:pPr>
      <w:r>
        <w:t>Analizar y valorar los instrumentos de planeación y orientación a resultados con los que cuenta el Pp;</w:t>
      </w:r>
    </w:p>
    <w:p w14:paraId="519EB271" w14:textId="77777777" w:rsidR="00AA5415" w:rsidRDefault="00AA5415" w:rsidP="00AA5415">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503067E0" w14:textId="77777777" w:rsidR="00AA5415" w:rsidRDefault="00AA5415" w:rsidP="00AA5415">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6C0DD982" w14:textId="77777777" w:rsidR="00AA5415" w:rsidRDefault="00AA5415" w:rsidP="00AA5415">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2CCD5C65" w14:textId="7122E3E9" w:rsidR="009B7088" w:rsidRDefault="00AA5415" w:rsidP="00AA5415">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34573D" w:rsidRPr="00AA5415">
        <w:t>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AA5415" w:rsidRDefault="0034573D" w:rsidP="0034573D">
            <w:pPr>
              <w:spacing w:after="0" w:line="240" w:lineRule="auto"/>
              <w:jc w:val="center"/>
              <w:rPr>
                <w:bCs/>
              </w:rPr>
            </w:pPr>
            <w:r w:rsidRPr="00AA5415">
              <w:rPr>
                <w:bCs/>
              </w:rPr>
              <w:t>X</w:t>
            </w:r>
          </w:p>
        </w:tc>
        <w:tc>
          <w:tcPr>
            <w:tcW w:w="2126" w:type="dxa"/>
            <w:vAlign w:val="center"/>
          </w:tcPr>
          <w:p w14:paraId="1F71ABFD" w14:textId="77777777" w:rsidR="00581B4A" w:rsidRPr="00AA5415" w:rsidRDefault="00581B4A" w:rsidP="00090637">
            <w:pPr>
              <w:spacing w:after="0" w:line="276" w:lineRule="auto"/>
              <w:jc w:val="center"/>
              <w:rPr>
                <w:b/>
                <w:bCs/>
              </w:rPr>
            </w:pPr>
          </w:p>
        </w:tc>
        <w:tc>
          <w:tcPr>
            <w:tcW w:w="1843" w:type="dxa"/>
            <w:vAlign w:val="center"/>
          </w:tcPr>
          <w:p w14:paraId="66DFD63C" w14:textId="77777777" w:rsidR="00581B4A" w:rsidRPr="00AA5415" w:rsidRDefault="00581B4A" w:rsidP="00090637">
            <w:pPr>
              <w:spacing w:after="0" w:line="276" w:lineRule="auto"/>
              <w:jc w:val="center"/>
            </w:pPr>
            <w:r w:rsidRPr="00AA5415">
              <w:t>X</w:t>
            </w:r>
          </w:p>
        </w:tc>
        <w:tc>
          <w:tcPr>
            <w:tcW w:w="3260" w:type="dxa"/>
            <w:vAlign w:val="center"/>
          </w:tcPr>
          <w:p w14:paraId="342AA705" w14:textId="77777777" w:rsidR="00581B4A" w:rsidRPr="00AA5415" w:rsidRDefault="00581B4A" w:rsidP="00090637">
            <w:pPr>
              <w:spacing w:after="0" w:line="276" w:lineRule="auto"/>
              <w:jc w:val="center"/>
            </w:pPr>
            <w:r w:rsidRPr="00AA5415">
              <w:t>Esquema de la Evaluación</w:t>
            </w:r>
          </w:p>
          <w:p w14:paraId="635641E2" w14:textId="4A2E2A15" w:rsidR="00581B4A" w:rsidRPr="00581B4A" w:rsidRDefault="00EC7832" w:rsidP="00090637">
            <w:pPr>
              <w:spacing w:after="0" w:line="276" w:lineRule="auto"/>
              <w:jc w:val="center"/>
              <w:rPr>
                <w:b/>
                <w:bCs/>
              </w:rPr>
            </w:pPr>
            <w:r w:rsidRPr="00AA5415">
              <w:t>d</w:t>
            </w:r>
            <w:r w:rsidR="0034573D" w:rsidRPr="00AA5415">
              <w:t>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FCB8737" w14:textId="77777777" w:rsidR="00AA5415" w:rsidRDefault="00AA5415" w:rsidP="00AA5415">
      <w:pPr>
        <w:jc w:val="both"/>
      </w:pPr>
      <w:r>
        <w:t>El objetivo general del programa es consolidar acciones de seguridad vial e incorporar nuevas estrategias y tecnologías para prestar los servicios en temas de Educación Vial, emisión de placas y licencias, permisos para las distintas modalidades de vehículos que circulan por la vía pública, instalación y mantenimiento de semáforos y señalización, así como la regulación y supervisión del servicio de transporte público, todo ello con la finalidad de lograr una movilidad de calidad, equitativa, justa, confiable, segura y sustentable en el estado de Sinaloa.</w:t>
      </w:r>
    </w:p>
    <w:p w14:paraId="76A64F9A" w14:textId="3E0F3CD2" w:rsidR="00113BCD" w:rsidRPr="002F6A18" w:rsidRDefault="00AA5415" w:rsidP="00AA5415">
      <w:pPr>
        <w:jc w:val="both"/>
      </w:pPr>
      <w:r>
        <w:t>Este programa tiene a bien brindar cursos de capacitación y promoción de la cultura vial a niñas, niños y jóvenes, expedir licencias de conducir y placas para el servicio público y particular, instalar y cumplir con el mantenimiento de señales viales  y semáforos en las distintas vialidades del estado, emitir certificados de aptitud a conductores del transporte público que así lo soliciten y cumplan con los requisitos necesarios, la supervisión del transporte público que circula y presta servicio en todo el estado, emitir dictámenes técnicos diversos así como expedir permisos particulares y eventuales  de carga y pasaje.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3A39C1FA" w14:textId="5301717C" w:rsidR="003E1018" w:rsidRPr="00AA5415" w:rsidRDefault="00B72B03" w:rsidP="00323447">
      <w:pPr>
        <w:pStyle w:val="Prrafodelista"/>
        <w:numPr>
          <w:ilvl w:val="2"/>
          <w:numId w:val="5"/>
        </w:numPr>
        <w:spacing w:after="0" w:line="276" w:lineRule="auto"/>
        <w:ind w:left="993" w:hanging="567"/>
        <w:jc w:val="both"/>
        <w:rPr>
          <w:b/>
          <w:bCs/>
        </w:rPr>
      </w:pPr>
      <w:r w:rsidRPr="00AA5415">
        <w:rPr>
          <w:b/>
          <w:bCs/>
        </w:rPr>
        <w:t>Fortalezas</w:t>
      </w:r>
      <w:r w:rsidR="00AA5415" w:rsidRPr="00AA5415">
        <w:rPr>
          <w:b/>
          <w:bCs/>
        </w:rPr>
        <w:t xml:space="preserve"> </w:t>
      </w:r>
      <w:r w:rsidR="00AA5415">
        <w:rPr>
          <w:b/>
          <w:bCs/>
        </w:rPr>
        <w:t xml:space="preserve">y </w:t>
      </w:r>
      <w:r w:rsidR="003E1018" w:rsidRPr="00AA5415">
        <w:rPr>
          <w:b/>
          <w:bCs/>
        </w:rPr>
        <w:t xml:space="preserve">Oportunidades: </w:t>
      </w:r>
    </w:p>
    <w:p w14:paraId="6CE17798" w14:textId="701C6128" w:rsidR="00AA5415" w:rsidRDefault="00AA5415" w:rsidP="00AA5415">
      <w:pPr>
        <w:pStyle w:val="Prrafodelista"/>
        <w:numPr>
          <w:ilvl w:val="0"/>
          <w:numId w:val="8"/>
        </w:numPr>
        <w:spacing w:line="276" w:lineRule="auto"/>
        <w:jc w:val="both"/>
      </w:pPr>
      <w:r>
        <w:t>El Pp se encuentra alineado al PED 2022-2027, al respectivo Programa Sectorial y a los ODS de la Agenda 2030.</w:t>
      </w:r>
    </w:p>
    <w:p w14:paraId="20B5F2C3" w14:textId="0BC838BD" w:rsidR="00AA5415" w:rsidRDefault="00AA5415" w:rsidP="00AA5415">
      <w:pPr>
        <w:pStyle w:val="Prrafodelista"/>
        <w:numPr>
          <w:ilvl w:val="0"/>
          <w:numId w:val="8"/>
        </w:numPr>
        <w:spacing w:line="276" w:lineRule="auto"/>
        <w:jc w:val="both"/>
      </w:pPr>
      <w:r>
        <w:t>Se encuentran identificadas las poblaciones.</w:t>
      </w:r>
    </w:p>
    <w:p w14:paraId="7F2EF615" w14:textId="1B357238" w:rsidR="00AA5415" w:rsidRDefault="00AA5415" w:rsidP="00AA5415">
      <w:pPr>
        <w:pStyle w:val="Prrafodelista"/>
        <w:numPr>
          <w:ilvl w:val="0"/>
          <w:numId w:val="8"/>
        </w:numPr>
        <w:spacing w:line="276" w:lineRule="auto"/>
        <w:jc w:val="both"/>
      </w:pPr>
      <w:r>
        <w:t>El Pp tiene la modalidad E que corresponde a la prestación de servicios.</w:t>
      </w:r>
    </w:p>
    <w:p w14:paraId="47A37C43" w14:textId="6C6B93BA" w:rsidR="00AA5415" w:rsidRDefault="00AA5415" w:rsidP="00AA5415">
      <w:pPr>
        <w:pStyle w:val="Prrafodelista"/>
        <w:numPr>
          <w:ilvl w:val="0"/>
          <w:numId w:val="8"/>
        </w:numPr>
        <w:spacing w:line="276" w:lineRule="auto"/>
        <w:jc w:val="both"/>
      </w:pPr>
      <w:r>
        <w:t>El Pp contribuye y forma parte del Programa Sectorial.</w:t>
      </w:r>
    </w:p>
    <w:p w14:paraId="65E30143" w14:textId="760F280D" w:rsidR="00AA5415" w:rsidRDefault="00AA5415" w:rsidP="00AA5415">
      <w:pPr>
        <w:pStyle w:val="Prrafodelista"/>
        <w:numPr>
          <w:ilvl w:val="0"/>
          <w:numId w:val="8"/>
        </w:numPr>
        <w:spacing w:line="276" w:lineRule="auto"/>
        <w:jc w:val="both"/>
      </w:pPr>
      <w:r>
        <w:t>Se cuenta con un POA del Pp.</w:t>
      </w:r>
    </w:p>
    <w:p w14:paraId="50B448E5" w14:textId="3E8060B3" w:rsidR="00AA5415" w:rsidRDefault="00AA5415" w:rsidP="00AA5415">
      <w:pPr>
        <w:pStyle w:val="Prrafodelista"/>
        <w:numPr>
          <w:ilvl w:val="0"/>
          <w:numId w:val="8"/>
        </w:numPr>
        <w:spacing w:line="276" w:lineRule="auto"/>
        <w:jc w:val="both"/>
      </w:pPr>
      <w:r>
        <w:t>El Pp reporta a través del Sistema Integral de Planeación, Programación y Presupuestación, Seguimiento y Evaluación de Proyectos.</w:t>
      </w:r>
    </w:p>
    <w:p w14:paraId="2F5D6610" w14:textId="5E0A951B" w:rsidR="00AA5415" w:rsidRDefault="00AA5415" w:rsidP="00AA5415">
      <w:pPr>
        <w:pStyle w:val="Prrafodelista"/>
        <w:numPr>
          <w:ilvl w:val="0"/>
          <w:numId w:val="8"/>
        </w:numPr>
        <w:spacing w:line="276" w:lineRule="auto"/>
        <w:jc w:val="both"/>
      </w:pPr>
      <w:r>
        <w:t>La UR del Pp menciona que el programa ha sido sujeto a evaluaciones del desempeño por la ASE.</w:t>
      </w:r>
    </w:p>
    <w:p w14:paraId="2D214ABB" w14:textId="48008D27" w:rsidR="00AA5415" w:rsidRDefault="00AA5415" w:rsidP="00AA5415">
      <w:pPr>
        <w:pStyle w:val="Prrafodelista"/>
        <w:numPr>
          <w:ilvl w:val="0"/>
          <w:numId w:val="8"/>
        </w:numPr>
        <w:spacing w:line="276" w:lineRule="auto"/>
        <w:jc w:val="both"/>
      </w:pPr>
      <w:r>
        <w:t>Se han atendido ASM definidos a partir de la auditoría de desempeño, llevada a cabo por la ASE.</w:t>
      </w:r>
    </w:p>
    <w:p w14:paraId="713CB661" w14:textId="57072418" w:rsidR="00AA5415" w:rsidRDefault="00AA5415" w:rsidP="00AA5415">
      <w:pPr>
        <w:pStyle w:val="Prrafodelista"/>
        <w:numPr>
          <w:ilvl w:val="0"/>
          <w:numId w:val="8"/>
        </w:numPr>
        <w:spacing w:line="276" w:lineRule="auto"/>
        <w:jc w:val="both"/>
      </w:pPr>
      <w:r>
        <w:t>Se cuenta con diagramas de flujo para los procesos del Pp.</w:t>
      </w:r>
    </w:p>
    <w:p w14:paraId="412DAE42" w14:textId="5833E23D" w:rsidR="00AA5415" w:rsidRDefault="00AA5415" w:rsidP="00AA5415">
      <w:pPr>
        <w:pStyle w:val="Prrafodelista"/>
        <w:numPr>
          <w:ilvl w:val="0"/>
          <w:numId w:val="8"/>
        </w:numPr>
        <w:spacing w:line="276" w:lineRule="auto"/>
        <w:jc w:val="both"/>
      </w:pPr>
      <w:r>
        <w:t>A través del Sistema Integral de Información Financiera (SIIF) se encuentra identificado y cuantificado por clasificación administrativa, tipo de gasto, por objeto del gasto y por clasificación funcional además del presupuesto aprobado, modificado, devengado y pagado.</w:t>
      </w:r>
    </w:p>
    <w:p w14:paraId="1083001B" w14:textId="597B2C87" w:rsidR="00AA5415" w:rsidRDefault="00AA5415" w:rsidP="00AA5415">
      <w:pPr>
        <w:pStyle w:val="Prrafodelista"/>
        <w:numPr>
          <w:ilvl w:val="0"/>
          <w:numId w:val="8"/>
        </w:numPr>
        <w:spacing w:line="276" w:lineRule="auto"/>
        <w:jc w:val="both"/>
      </w:pPr>
      <w:r>
        <w:t>Para la administración, operación del programa y el monitoreo en el avance de los resultados se cuenta con base de datos para consulta de registro de licencias, resultados de exámenes teóricos de licencias por primera vez, concesiones, sistema de permisos provisionales de transporte público, sistema de permisos de traslado, certificados de aptitud para conductores del transporte público otorgados, así como un sistema que contiene todos los expedientes jurídicos.</w:t>
      </w:r>
    </w:p>
    <w:p w14:paraId="0CA7D564" w14:textId="6568263C" w:rsidR="00AA5415" w:rsidRDefault="00AA5415" w:rsidP="00AA5415">
      <w:pPr>
        <w:pStyle w:val="Prrafodelista"/>
        <w:numPr>
          <w:ilvl w:val="0"/>
          <w:numId w:val="8"/>
        </w:numPr>
        <w:spacing w:line="276" w:lineRule="auto"/>
        <w:jc w:val="both"/>
      </w:pPr>
      <w:r>
        <w:t>Existen sitios web a los que se puede consultar información relevante del Pp.</w:t>
      </w:r>
    </w:p>
    <w:p w14:paraId="545FCF04" w14:textId="678FBAEA" w:rsidR="00B72B03" w:rsidRPr="00B72B03" w:rsidRDefault="00AA5415" w:rsidP="00AA5415">
      <w:pPr>
        <w:pStyle w:val="Prrafodelista"/>
        <w:numPr>
          <w:ilvl w:val="0"/>
          <w:numId w:val="8"/>
        </w:numPr>
        <w:spacing w:line="276" w:lineRule="auto"/>
        <w:jc w:val="both"/>
      </w:pPr>
      <w:r>
        <w:t>Se realizó una auditoría de desempeño realizada por la ASE donde se solicitaron documentos para el ejercicio fiscal 2021.</w:t>
      </w:r>
    </w:p>
    <w:p w14:paraId="22DADFD3" w14:textId="1D743631" w:rsidR="003E1018" w:rsidRPr="00AA5415" w:rsidRDefault="003E1018" w:rsidP="00AA5415">
      <w:pPr>
        <w:pStyle w:val="Prrafodelista"/>
        <w:numPr>
          <w:ilvl w:val="2"/>
          <w:numId w:val="5"/>
        </w:numPr>
        <w:spacing w:after="0" w:line="276" w:lineRule="auto"/>
        <w:ind w:left="993" w:hanging="567"/>
        <w:jc w:val="both"/>
        <w:rPr>
          <w:b/>
          <w:bCs/>
        </w:rPr>
      </w:pPr>
      <w:r w:rsidRPr="00AA5415">
        <w:rPr>
          <w:b/>
          <w:bCs/>
        </w:rPr>
        <w:t>Debilidades</w:t>
      </w:r>
      <w:r w:rsidR="00AA5415" w:rsidRPr="00AA5415">
        <w:rPr>
          <w:b/>
          <w:bCs/>
        </w:rPr>
        <w:t xml:space="preserve"> </w:t>
      </w:r>
      <w:r w:rsidR="00AA5415">
        <w:rPr>
          <w:b/>
          <w:bCs/>
        </w:rPr>
        <w:t xml:space="preserve">y </w:t>
      </w:r>
      <w:r w:rsidRPr="00AA5415">
        <w:rPr>
          <w:b/>
          <w:bCs/>
        </w:rPr>
        <w:t>Amenazas:</w:t>
      </w:r>
    </w:p>
    <w:p w14:paraId="24636CBD" w14:textId="10028B29" w:rsidR="00AA5415" w:rsidRDefault="00AA5415" w:rsidP="00AA5415">
      <w:pPr>
        <w:pStyle w:val="Prrafodelista"/>
        <w:numPr>
          <w:ilvl w:val="0"/>
          <w:numId w:val="8"/>
        </w:numPr>
        <w:spacing w:line="276" w:lineRule="auto"/>
        <w:jc w:val="both"/>
      </w:pPr>
      <w:r>
        <w:t>El Pp no cuenta con un diagnóstico sobre el mismo.</w:t>
      </w:r>
    </w:p>
    <w:p w14:paraId="154F42E3" w14:textId="4CA169CD" w:rsidR="00AA5415" w:rsidRDefault="00AA5415" w:rsidP="00AA5415">
      <w:pPr>
        <w:pStyle w:val="Prrafodelista"/>
        <w:numPr>
          <w:ilvl w:val="0"/>
          <w:numId w:val="8"/>
        </w:numPr>
        <w:spacing w:line="276" w:lineRule="auto"/>
        <w:jc w:val="both"/>
      </w:pPr>
      <w:r>
        <w:lastRenderedPageBreak/>
        <w:t>No se identificó el problema o la necesidad pública que busca atender el Pp.</w:t>
      </w:r>
    </w:p>
    <w:p w14:paraId="1CC5C919" w14:textId="6764C95E" w:rsidR="00AA5415" w:rsidRDefault="00AA5415" w:rsidP="00AA5415">
      <w:pPr>
        <w:pStyle w:val="Prrafodelista"/>
        <w:numPr>
          <w:ilvl w:val="0"/>
          <w:numId w:val="8"/>
        </w:numPr>
        <w:spacing w:line="276" w:lineRule="auto"/>
        <w:jc w:val="both"/>
      </w:pPr>
      <w:r>
        <w:t>No existe justificación teórica o empírica documentada que sustente el tipo de intervención que el Pp lleva a cabo.</w:t>
      </w:r>
    </w:p>
    <w:p w14:paraId="6AC07442" w14:textId="208E0A92" w:rsidR="00AA5415" w:rsidRDefault="00AA5415" w:rsidP="00AA5415">
      <w:pPr>
        <w:pStyle w:val="Prrafodelista"/>
        <w:numPr>
          <w:ilvl w:val="0"/>
          <w:numId w:val="8"/>
        </w:numPr>
        <w:spacing w:line="276" w:lineRule="auto"/>
        <w:jc w:val="both"/>
      </w:pPr>
      <w:r>
        <w:t>No se presentó el mecanismo de control del Pp que permita conocer a la población atendida.</w:t>
      </w:r>
    </w:p>
    <w:p w14:paraId="7439004F" w14:textId="04383A57" w:rsidR="00AA5415" w:rsidRDefault="00AA5415" w:rsidP="00AA5415">
      <w:pPr>
        <w:pStyle w:val="Prrafodelista"/>
        <w:numPr>
          <w:ilvl w:val="0"/>
          <w:numId w:val="8"/>
        </w:numPr>
        <w:spacing w:line="276" w:lineRule="auto"/>
        <w:jc w:val="both"/>
      </w:pPr>
      <w:r>
        <w:t>Para el ejercicio fiscal 2022 no se presentó un ISD del Pp.</w:t>
      </w:r>
    </w:p>
    <w:p w14:paraId="49CDCBF6" w14:textId="7C22D107" w:rsidR="00AA5415" w:rsidRDefault="00AA5415" w:rsidP="00AA5415">
      <w:pPr>
        <w:pStyle w:val="Prrafodelista"/>
        <w:numPr>
          <w:ilvl w:val="0"/>
          <w:numId w:val="8"/>
        </w:numPr>
        <w:spacing w:line="276" w:lineRule="auto"/>
        <w:jc w:val="both"/>
      </w:pPr>
      <w:r>
        <w:t>Para el ejercicio fiscal 2022 no se presentaron indicadores de desempeño que integren el ISD.</w:t>
      </w:r>
    </w:p>
    <w:p w14:paraId="7716808B" w14:textId="77777777" w:rsidR="00AA5415" w:rsidRDefault="00AA5415" w:rsidP="00AA5415">
      <w:pPr>
        <w:pStyle w:val="Prrafodelista"/>
        <w:numPr>
          <w:ilvl w:val="0"/>
          <w:numId w:val="8"/>
        </w:numPr>
        <w:spacing w:line="276" w:lineRule="auto"/>
        <w:jc w:val="both"/>
      </w:pPr>
      <w:r>
        <w:t>Para el ejercicio fiscal 2022, el Pp no publico una MIR.</w:t>
      </w:r>
    </w:p>
    <w:p w14:paraId="354E4F14" w14:textId="5EB9E6F0" w:rsidR="00AA5415" w:rsidRDefault="00AA5415" w:rsidP="00AA5415">
      <w:pPr>
        <w:pStyle w:val="Prrafodelista"/>
        <w:numPr>
          <w:ilvl w:val="0"/>
          <w:numId w:val="8"/>
        </w:numPr>
        <w:spacing w:line="276" w:lineRule="auto"/>
        <w:jc w:val="both"/>
      </w:pPr>
      <w:r>
        <w:t>No se presentó una estrategia de cobertura documentada para la atención de su población potencial y objetivo.</w:t>
      </w:r>
    </w:p>
    <w:p w14:paraId="183C9267" w14:textId="1CDD6686" w:rsidR="00AA5415" w:rsidRDefault="00AA5415" w:rsidP="00AA5415">
      <w:pPr>
        <w:pStyle w:val="Prrafodelista"/>
        <w:numPr>
          <w:ilvl w:val="0"/>
          <w:numId w:val="8"/>
        </w:numPr>
        <w:spacing w:line="276" w:lineRule="auto"/>
        <w:jc w:val="both"/>
      </w:pPr>
      <w:r>
        <w:t>No se tiene evidencia de la publicación de los manuales de procedimiento.</w:t>
      </w:r>
    </w:p>
    <w:p w14:paraId="66C92E9D" w14:textId="74B2D448" w:rsidR="00AA5415" w:rsidRDefault="00AA5415" w:rsidP="00AA5415">
      <w:pPr>
        <w:pStyle w:val="Prrafodelista"/>
        <w:numPr>
          <w:ilvl w:val="0"/>
          <w:numId w:val="8"/>
        </w:numPr>
        <w:spacing w:line="276" w:lineRule="auto"/>
        <w:jc w:val="both"/>
      </w:pPr>
      <w:r>
        <w:t>La UR no presentó evidencia documental al respecto.</w:t>
      </w:r>
    </w:p>
    <w:p w14:paraId="1329A6EC" w14:textId="0B86B171" w:rsidR="00A165BB" w:rsidRPr="00C00FBC" w:rsidRDefault="00AA5415" w:rsidP="00AA5415">
      <w:pPr>
        <w:pStyle w:val="Prrafodelista"/>
        <w:numPr>
          <w:ilvl w:val="0"/>
          <w:numId w:val="8"/>
        </w:numPr>
        <w:spacing w:line="276" w:lineRule="auto"/>
        <w:jc w:val="both"/>
      </w:pPr>
      <w:r>
        <w:t>Para el ejercicio fiscal 2022, el Pp no publico una MIR, así como tampoco se cuenta con reportes trimestrales de los avances de los metas publicados.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48E5B95A" w14:textId="5B80012A" w:rsidR="006D0DD6" w:rsidRPr="00591864" w:rsidRDefault="006D0DD6" w:rsidP="006D0DD6">
      <w:pPr>
        <w:rPr>
          <w:lang w:val="es-ES"/>
        </w:rPr>
      </w:pPr>
      <w:r w:rsidRPr="001479D0">
        <w:rPr>
          <w:bCs/>
          <w:lang w:val="es-ES"/>
        </w:rPr>
        <w:t xml:space="preserve">Derivado de la evaluación del programa se tiene que la Valoración Final de </w:t>
      </w:r>
      <w:r w:rsidRPr="001479D0">
        <w:rPr>
          <w:bCs/>
        </w:rPr>
        <w:t xml:space="preserve">los resultados fue de </w:t>
      </w:r>
      <w:r>
        <w:rPr>
          <w:b/>
        </w:rPr>
        <w:t>1.4</w:t>
      </w:r>
      <w:r w:rsidR="00C72107">
        <w:rPr>
          <w:b/>
        </w:rPr>
        <w:t>9</w:t>
      </w:r>
      <w:r w:rsidRPr="001479D0">
        <w:rPr>
          <w:b/>
        </w:rPr>
        <w:t xml:space="preserve"> </w:t>
      </w:r>
      <w:r w:rsidRPr="001479D0">
        <w:rPr>
          <w:bCs/>
        </w:rPr>
        <w:t>a través de</w:t>
      </w:r>
      <w:r w:rsidRPr="001479D0">
        <w:rPr>
          <w:lang w:val="es-ES"/>
        </w:rPr>
        <w:t xml:space="preserve"> la asignación de niveles en cada pregunta valoradas de forma cuantitativa.</w:t>
      </w:r>
      <w:r w:rsidRPr="00591864">
        <w:rPr>
          <w:lang w:val="es-ES"/>
        </w:rPr>
        <w:t xml:space="preserve"> </w:t>
      </w:r>
    </w:p>
    <w:tbl>
      <w:tblPr>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780"/>
        <w:gridCol w:w="1318"/>
        <w:gridCol w:w="4820"/>
      </w:tblGrid>
      <w:tr w:rsidR="006D0DD6" w14:paraId="552557C8" w14:textId="77777777" w:rsidTr="006D0DD6">
        <w:trPr>
          <w:trHeight w:val="430"/>
        </w:trPr>
        <w:tc>
          <w:tcPr>
            <w:tcW w:w="3780" w:type="dxa"/>
            <w:shd w:val="clear" w:color="auto" w:fill="404040" w:themeFill="text1" w:themeFillTint="BF"/>
            <w:noWrap/>
            <w:vAlign w:val="center"/>
            <w:hideMark/>
          </w:tcPr>
          <w:p w14:paraId="6C0169FF" w14:textId="77777777" w:rsidR="006D0DD6" w:rsidRDefault="006D0DD6" w:rsidP="00E82A6F">
            <w:pPr>
              <w:spacing w:after="0" w:line="240" w:lineRule="auto"/>
              <w:jc w:val="center"/>
              <w:rPr>
                <w:rFonts w:asciiTheme="minorHAnsi" w:eastAsia="Times New Roman" w:hAnsiTheme="minorHAnsi" w:cstheme="minorHAnsi"/>
                <w:b/>
                <w:bCs/>
                <w:color w:val="FFFFFF"/>
                <w:sz w:val="18"/>
                <w:szCs w:val="20"/>
                <w:lang w:eastAsia="es-MX"/>
              </w:rPr>
            </w:pPr>
            <w:r>
              <w:rPr>
                <w:rFonts w:eastAsia="Times New Roman" w:cstheme="minorHAnsi"/>
                <w:b/>
                <w:bCs/>
                <w:color w:val="FFFFFF"/>
                <w:sz w:val="18"/>
                <w:szCs w:val="20"/>
                <w:lang w:eastAsia="es-MX"/>
              </w:rPr>
              <w:t>Módulo</w:t>
            </w:r>
          </w:p>
        </w:tc>
        <w:tc>
          <w:tcPr>
            <w:tcW w:w="1318" w:type="dxa"/>
            <w:shd w:val="clear" w:color="auto" w:fill="404040" w:themeFill="text1" w:themeFillTint="BF"/>
            <w:vAlign w:val="center"/>
            <w:hideMark/>
          </w:tcPr>
          <w:p w14:paraId="0D4C5CF7" w14:textId="77777777" w:rsidR="006D0DD6" w:rsidRDefault="006D0DD6" w:rsidP="00E82A6F">
            <w:pPr>
              <w:spacing w:after="0" w:line="240" w:lineRule="auto"/>
              <w:jc w:val="center"/>
              <w:rPr>
                <w:rFonts w:eastAsia="Times New Roman" w:cstheme="minorHAnsi"/>
                <w:b/>
                <w:bCs/>
                <w:color w:val="FFFFFF"/>
                <w:sz w:val="18"/>
                <w:szCs w:val="20"/>
                <w:lang w:eastAsia="es-MX"/>
              </w:rPr>
            </w:pPr>
            <w:r>
              <w:rPr>
                <w:rFonts w:eastAsia="Times New Roman" w:cstheme="minorHAnsi"/>
                <w:b/>
                <w:bCs/>
                <w:color w:val="FFFFFF"/>
                <w:sz w:val="18"/>
                <w:szCs w:val="20"/>
                <w:lang w:eastAsia="es-MX"/>
              </w:rPr>
              <w:t>Nivel promedio</w:t>
            </w:r>
          </w:p>
        </w:tc>
        <w:tc>
          <w:tcPr>
            <w:tcW w:w="4820" w:type="dxa"/>
            <w:shd w:val="clear" w:color="auto" w:fill="404040" w:themeFill="text1" w:themeFillTint="BF"/>
            <w:noWrap/>
            <w:vAlign w:val="center"/>
            <w:hideMark/>
          </w:tcPr>
          <w:p w14:paraId="459736FD" w14:textId="77777777" w:rsidR="006D0DD6" w:rsidRDefault="006D0DD6" w:rsidP="00E82A6F">
            <w:pPr>
              <w:spacing w:after="0" w:line="240" w:lineRule="auto"/>
              <w:jc w:val="center"/>
              <w:rPr>
                <w:rFonts w:eastAsia="Times New Roman" w:cstheme="minorHAnsi"/>
                <w:b/>
                <w:bCs/>
                <w:color w:val="FFFFFF"/>
                <w:sz w:val="18"/>
                <w:szCs w:val="20"/>
                <w:lang w:eastAsia="es-MX"/>
              </w:rPr>
            </w:pPr>
            <w:r>
              <w:rPr>
                <w:rFonts w:eastAsia="Times New Roman" w:cstheme="minorHAnsi"/>
                <w:b/>
                <w:bCs/>
                <w:color w:val="FFFFFF"/>
                <w:sz w:val="18"/>
                <w:szCs w:val="20"/>
                <w:lang w:eastAsia="es-MX"/>
              </w:rPr>
              <w:t>Justificación</w:t>
            </w:r>
          </w:p>
        </w:tc>
      </w:tr>
      <w:tr w:rsidR="006D0DD6" w14:paraId="549D785F" w14:textId="77777777" w:rsidTr="006D0DD6">
        <w:trPr>
          <w:trHeight w:val="283"/>
        </w:trPr>
        <w:tc>
          <w:tcPr>
            <w:tcW w:w="3780" w:type="dxa"/>
            <w:vAlign w:val="center"/>
            <w:hideMark/>
          </w:tcPr>
          <w:p w14:paraId="14A585A0" w14:textId="77777777" w:rsidR="006D0DD6" w:rsidRDefault="006D0DD6" w:rsidP="00E82A6F">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Diseño</w:t>
            </w:r>
          </w:p>
        </w:tc>
        <w:tc>
          <w:tcPr>
            <w:tcW w:w="1318" w:type="dxa"/>
            <w:shd w:val="clear" w:color="auto" w:fill="auto"/>
            <w:noWrap/>
            <w:vAlign w:val="center"/>
          </w:tcPr>
          <w:p w14:paraId="2D04092B" w14:textId="77777777" w:rsidR="006D0DD6" w:rsidRDefault="006D0DD6" w:rsidP="00E82A6F">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0.23</w:t>
            </w:r>
          </w:p>
        </w:tc>
        <w:tc>
          <w:tcPr>
            <w:tcW w:w="4820" w:type="dxa"/>
            <w:shd w:val="clear" w:color="auto" w:fill="auto"/>
            <w:noWrap/>
            <w:vAlign w:val="center"/>
            <w:hideMark/>
          </w:tcPr>
          <w:p w14:paraId="0EE07963" w14:textId="77777777" w:rsidR="006D0DD6" w:rsidRPr="00F603F9" w:rsidRDefault="006D0DD6" w:rsidP="00E82A6F">
            <w:pPr>
              <w:spacing w:after="0" w:line="240" w:lineRule="auto"/>
              <w:rPr>
                <w:rFonts w:eastAsia="Times New Roman" w:cstheme="minorHAnsi"/>
                <w:color w:val="000000"/>
                <w:sz w:val="18"/>
                <w:szCs w:val="18"/>
                <w:lang w:eastAsia="es-MX"/>
              </w:rPr>
            </w:pPr>
            <w:r w:rsidRPr="00F603F9">
              <w:rPr>
                <w:bCs/>
                <w:sz w:val="18"/>
                <w:szCs w:val="18"/>
                <w:lang w:val="es-ES"/>
              </w:rPr>
              <w:t xml:space="preserve">De ellas se obtuvieron </w:t>
            </w:r>
            <w:r>
              <w:rPr>
                <w:bCs/>
                <w:sz w:val="18"/>
                <w:szCs w:val="18"/>
                <w:lang w:val="es-ES"/>
              </w:rPr>
              <w:t>9</w:t>
            </w:r>
            <w:r w:rsidRPr="00F603F9">
              <w:rPr>
                <w:bCs/>
                <w:sz w:val="18"/>
                <w:szCs w:val="18"/>
                <w:lang w:val="es-ES"/>
              </w:rPr>
              <w:t xml:space="preserve"> de los 40 puntos disponibles</w:t>
            </w:r>
          </w:p>
        </w:tc>
      </w:tr>
      <w:tr w:rsidR="006D0DD6" w14:paraId="1883DB11" w14:textId="77777777" w:rsidTr="006D0DD6">
        <w:trPr>
          <w:trHeight w:val="283"/>
        </w:trPr>
        <w:tc>
          <w:tcPr>
            <w:tcW w:w="3780" w:type="dxa"/>
            <w:vAlign w:val="center"/>
            <w:hideMark/>
          </w:tcPr>
          <w:p w14:paraId="381FB133" w14:textId="77777777" w:rsidR="006D0DD6" w:rsidRDefault="006D0DD6" w:rsidP="00E82A6F">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Planeación y orientación a resultados</w:t>
            </w:r>
          </w:p>
        </w:tc>
        <w:tc>
          <w:tcPr>
            <w:tcW w:w="1318" w:type="dxa"/>
            <w:shd w:val="clear" w:color="auto" w:fill="auto"/>
            <w:noWrap/>
            <w:vAlign w:val="center"/>
          </w:tcPr>
          <w:p w14:paraId="32DDBF74" w14:textId="77777777" w:rsidR="006D0DD6" w:rsidRDefault="006D0DD6" w:rsidP="00E82A6F">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0.46</w:t>
            </w:r>
          </w:p>
        </w:tc>
        <w:tc>
          <w:tcPr>
            <w:tcW w:w="4820" w:type="dxa"/>
            <w:shd w:val="clear" w:color="auto" w:fill="auto"/>
            <w:noWrap/>
            <w:vAlign w:val="center"/>
            <w:hideMark/>
          </w:tcPr>
          <w:p w14:paraId="00069B63" w14:textId="77777777" w:rsidR="006D0DD6" w:rsidRPr="00F603F9" w:rsidRDefault="006D0DD6" w:rsidP="00E82A6F">
            <w:pPr>
              <w:spacing w:after="0" w:line="240" w:lineRule="auto"/>
              <w:rPr>
                <w:rFonts w:eastAsia="Times New Roman" w:cstheme="minorHAnsi"/>
                <w:color w:val="000000"/>
                <w:sz w:val="18"/>
                <w:szCs w:val="18"/>
                <w:lang w:eastAsia="es-MX"/>
              </w:rPr>
            </w:pPr>
            <w:r w:rsidRPr="00F603F9">
              <w:rPr>
                <w:bCs/>
                <w:sz w:val="18"/>
                <w:szCs w:val="18"/>
                <w:lang w:val="es-ES"/>
              </w:rPr>
              <w:t>De ellas se obtuvieron 1</w:t>
            </w:r>
            <w:r>
              <w:rPr>
                <w:bCs/>
                <w:sz w:val="18"/>
                <w:szCs w:val="18"/>
                <w:lang w:val="es-ES"/>
              </w:rPr>
              <w:t>1</w:t>
            </w:r>
            <w:r w:rsidRPr="00F603F9">
              <w:rPr>
                <w:bCs/>
                <w:sz w:val="18"/>
                <w:szCs w:val="18"/>
                <w:lang w:val="es-ES"/>
              </w:rPr>
              <w:t xml:space="preserve"> de los 24 puntos disponibles</w:t>
            </w:r>
          </w:p>
        </w:tc>
      </w:tr>
      <w:tr w:rsidR="006D0DD6" w14:paraId="784BCE6B" w14:textId="77777777" w:rsidTr="006D0DD6">
        <w:trPr>
          <w:trHeight w:val="283"/>
        </w:trPr>
        <w:tc>
          <w:tcPr>
            <w:tcW w:w="3780" w:type="dxa"/>
            <w:vAlign w:val="center"/>
            <w:hideMark/>
          </w:tcPr>
          <w:p w14:paraId="1577D433" w14:textId="77777777" w:rsidR="006D0DD6" w:rsidRDefault="006D0DD6" w:rsidP="00E82A6F">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Cobertura y focalización</w:t>
            </w:r>
          </w:p>
        </w:tc>
        <w:tc>
          <w:tcPr>
            <w:tcW w:w="1318" w:type="dxa"/>
            <w:shd w:val="clear" w:color="auto" w:fill="auto"/>
            <w:noWrap/>
            <w:vAlign w:val="center"/>
          </w:tcPr>
          <w:p w14:paraId="3114726D" w14:textId="77777777" w:rsidR="006D0DD6" w:rsidRDefault="006D0DD6" w:rsidP="00E82A6F">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0.00</w:t>
            </w:r>
          </w:p>
        </w:tc>
        <w:tc>
          <w:tcPr>
            <w:tcW w:w="4820" w:type="dxa"/>
            <w:shd w:val="clear" w:color="auto" w:fill="auto"/>
            <w:noWrap/>
            <w:vAlign w:val="center"/>
            <w:hideMark/>
          </w:tcPr>
          <w:p w14:paraId="78769555" w14:textId="77777777" w:rsidR="006D0DD6" w:rsidRPr="00F603F9" w:rsidRDefault="006D0DD6" w:rsidP="00E82A6F">
            <w:pPr>
              <w:spacing w:after="0" w:line="240" w:lineRule="auto"/>
              <w:rPr>
                <w:rFonts w:eastAsia="Times New Roman" w:cstheme="minorHAnsi"/>
                <w:color w:val="000000"/>
                <w:sz w:val="18"/>
                <w:szCs w:val="18"/>
                <w:lang w:eastAsia="es-MX"/>
              </w:rPr>
            </w:pPr>
            <w:r w:rsidRPr="00F603F9">
              <w:rPr>
                <w:bCs/>
                <w:sz w:val="18"/>
                <w:szCs w:val="18"/>
                <w:lang w:val="es-ES"/>
              </w:rPr>
              <w:t xml:space="preserve">De ellas se obtuvieron </w:t>
            </w:r>
            <w:r>
              <w:rPr>
                <w:bCs/>
                <w:sz w:val="18"/>
                <w:szCs w:val="18"/>
                <w:lang w:val="es-ES"/>
              </w:rPr>
              <w:t>0</w:t>
            </w:r>
            <w:r w:rsidRPr="00F603F9">
              <w:rPr>
                <w:bCs/>
                <w:sz w:val="18"/>
                <w:szCs w:val="18"/>
                <w:lang w:val="es-ES"/>
              </w:rPr>
              <w:t xml:space="preserve"> de los 4 puntos disponibles</w:t>
            </w:r>
          </w:p>
        </w:tc>
      </w:tr>
      <w:tr w:rsidR="006D0DD6" w14:paraId="2D4E4705" w14:textId="77777777" w:rsidTr="006D0DD6">
        <w:trPr>
          <w:trHeight w:val="283"/>
        </w:trPr>
        <w:tc>
          <w:tcPr>
            <w:tcW w:w="3780" w:type="dxa"/>
            <w:vAlign w:val="center"/>
            <w:hideMark/>
          </w:tcPr>
          <w:p w14:paraId="0F3AD87C" w14:textId="77777777" w:rsidR="006D0DD6" w:rsidRDefault="006D0DD6" w:rsidP="00E82A6F">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Operación</w:t>
            </w:r>
          </w:p>
        </w:tc>
        <w:tc>
          <w:tcPr>
            <w:tcW w:w="1318" w:type="dxa"/>
            <w:shd w:val="clear" w:color="auto" w:fill="auto"/>
            <w:noWrap/>
            <w:vAlign w:val="center"/>
          </w:tcPr>
          <w:p w14:paraId="5F8FB907" w14:textId="77777777" w:rsidR="006D0DD6" w:rsidRDefault="006D0DD6" w:rsidP="00E82A6F">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0.45</w:t>
            </w:r>
          </w:p>
        </w:tc>
        <w:tc>
          <w:tcPr>
            <w:tcW w:w="4820" w:type="dxa"/>
            <w:shd w:val="clear" w:color="auto" w:fill="auto"/>
            <w:noWrap/>
            <w:vAlign w:val="center"/>
            <w:hideMark/>
          </w:tcPr>
          <w:p w14:paraId="27BA3349" w14:textId="77777777" w:rsidR="006D0DD6" w:rsidRPr="00F603F9" w:rsidRDefault="006D0DD6" w:rsidP="00E82A6F">
            <w:pPr>
              <w:spacing w:after="0" w:line="240" w:lineRule="auto"/>
              <w:rPr>
                <w:rFonts w:eastAsia="Times New Roman" w:cstheme="minorHAnsi"/>
                <w:color w:val="000000"/>
                <w:sz w:val="18"/>
                <w:szCs w:val="18"/>
                <w:lang w:eastAsia="es-MX"/>
              </w:rPr>
            </w:pPr>
            <w:r w:rsidRPr="00F603F9">
              <w:rPr>
                <w:bCs/>
                <w:sz w:val="18"/>
                <w:szCs w:val="18"/>
                <w:lang w:val="es-ES"/>
              </w:rPr>
              <w:t xml:space="preserve">De ellas se obtuvieron </w:t>
            </w:r>
            <w:r>
              <w:rPr>
                <w:bCs/>
                <w:sz w:val="18"/>
                <w:szCs w:val="18"/>
                <w:lang w:val="es-ES"/>
              </w:rPr>
              <w:t>25</w:t>
            </w:r>
            <w:r w:rsidRPr="00F603F9">
              <w:rPr>
                <w:bCs/>
                <w:sz w:val="18"/>
                <w:szCs w:val="18"/>
                <w:lang w:val="es-ES"/>
              </w:rPr>
              <w:t xml:space="preserve"> de los 56 puntos disponibles</w:t>
            </w:r>
          </w:p>
        </w:tc>
      </w:tr>
      <w:tr w:rsidR="006D0DD6" w14:paraId="06CCA5E4" w14:textId="77777777" w:rsidTr="006D0DD6">
        <w:trPr>
          <w:trHeight w:val="283"/>
        </w:trPr>
        <w:tc>
          <w:tcPr>
            <w:tcW w:w="3780" w:type="dxa"/>
            <w:vAlign w:val="center"/>
            <w:hideMark/>
          </w:tcPr>
          <w:p w14:paraId="2F0759F1" w14:textId="77777777" w:rsidR="006D0DD6" w:rsidRDefault="006D0DD6" w:rsidP="00E82A6F">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Percepción de la población atendida</w:t>
            </w:r>
          </w:p>
        </w:tc>
        <w:tc>
          <w:tcPr>
            <w:tcW w:w="1318" w:type="dxa"/>
            <w:shd w:val="clear" w:color="auto" w:fill="auto"/>
            <w:noWrap/>
            <w:vAlign w:val="center"/>
          </w:tcPr>
          <w:p w14:paraId="48124532" w14:textId="77777777" w:rsidR="006D0DD6" w:rsidRDefault="006D0DD6" w:rsidP="00E82A6F">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0.00</w:t>
            </w:r>
          </w:p>
        </w:tc>
        <w:tc>
          <w:tcPr>
            <w:tcW w:w="4820" w:type="dxa"/>
            <w:shd w:val="clear" w:color="auto" w:fill="auto"/>
            <w:noWrap/>
            <w:vAlign w:val="center"/>
            <w:hideMark/>
          </w:tcPr>
          <w:p w14:paraId="7FF57669" w14:textId="77777777" w:rsidR="006D0DD6" w:rsidRPr="00F603F9" w:rsidRDefault="006D0DD6" w:rsidP="00E82A6F">
            <w:pPr>
              <w:spacing w:after="0" w:line="240" w:lineRule="auto"/>
              <w:rPr>
                <w:rFonts w:eastAsia="Times New Roman" w:cstheme="minorHAnsi"/>
                <w:color w:val="000000"/>
                <w:sz w:val="18"/>
                <w:szCs w:val="18"/>
                <w:lang w:eastAsia="es-MX"/>
              </w:rPr>
            </w:pPr>
            <w:r w:rsidRPr="00F603F9">
              <w:rPr>
                <w:bCs/>
                <w:sz w:val="18"/>
                <w:szCs w:val="18"/>
                <w:lang w:val="es-ES"/>
              </w:rPr>
              <w:t>De ellas se obtuvieron 0 de los 4 puntos disponibles</w:t>
            </w:r>
          </w:p>
        </w:tc>
      </w:tr>
      <w:tr w:rsidR="006D0DD6" w14:paraId="4F25FF76" w14:textId="77777777" w:rsidTr="006D0DD6">
        <w:trPr>
          <w:trHeight w:val="283"/>
        </w:trPr>
        <w:tc>
          <w:tcPr>
            <w:tcW w:w="3780" w:type="dxa"/>
            <w:vAlign w:val="center"/>
            <w:hideMark/>
          </w:tcPr>
          <w:p w14:paraId="7404C629" w14:textId="77777777" w:rsidR="006D0DD6" w:rsidRDefault="006D0DD6" w:rsidP="00E82A6F">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Medición de resultados</w:t>
            </w:r>
          </w:p>
        </w:tc>
        <w:tc>
          <w:tcPr>
            <w:tcW w:w="1318" w:type="dxa"/>
            <w:shd w:val="clear" w:color="auto" w:fill="auto"/>
            <w:noWrap/>
            <w:vAlign w:val="center"/>
          </w:tcPr>
          <w:p w14:paraId="763304C8" w14:textId="77777777" w:rsidR="006D0DD6" w:rsidRDefault="006D0DD6" w:rsidP="00E82A6F">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0.35</w:t>
            </w:r>
          </w:p>
        </w:tc>
        <w:tc>
          <w:tcPr>
            <w:tcW w:w="4820" w:type="dxa"/>
            <w:shd w:val="clear" w:color="auto" w:fill="auto"/>
            <w:noWrap/>
            <w:vAlign w:val="center"/>
            <w:hideMark/>
          </w:tcPr>
          <w:p w14:paraId="1E4B7075" w14:textId="77777777" w:rsidR="006D0DD6" w:rsidRPr="00F603F9" w:rsidRDefault="006D0DD6" w:rsidP="00E82A6F">
            <w:pPr>
              <w:spacing w:after="0" w:line="240" w:lineRule="auto"/>
              <w:rPr>
                <w:rFonts w:eastAsia="Times New Roman" w:cstheme="minorHAnsi"/>
                <w:color w:val="000000"/>
                <w:sz w:val="18"/>
                <w:szCs w:val="18"/>
                <w:lang w:eastAsia="es-MX"/>
              </w:rPr>
            </w:pPr>
            <w:r w:rsidRPr="00F603F9">
              <w:rPr>
                <w:rFonts w:eastAsia="Times New Roman" w:cstheme="minorHAnsi"/>
                <w:color w:val="000000"/>
                <w:sz w:val="18"/>
                <w:szCs w:val="18"/>
                <w:lang w:eastAsia="es-MX"/>
              </w:rPr>
              <w:t>De ellas se obtuvieron 7 de los 20 puntos disponibles</w:t>
            </w:r>
          </w:p>
        </w:tc>
      </w:tr>
      <w:tr w:rsidR="006D0DD6" w14:paraId="40798F80" w14:textId="77777777" w:rsidTr="006D0DD6">
        <w:trPr>
          <w:trHeight w:val="375"/>
        </w:trPr>
        <w:tc>
          <w:tcPr>
            <w:tcW w:w="3780" w:type="dxa"/>
            <w:shd w:val="clear" w:color="auto" w:fill="7F7F7F" w:themeFill="text1" w:themeFillTint="80"/>
            <w:noWrap/>
            <w:vAlign w:val="center"/>
            <w:hideMark/>
          </w:tcPr>
          <w:p w14:paraId="7FC62C3A" w14:textId="77777777" w:rsidR="006D0DD6" w:rsidRDefault="006D0DD6" w:rsidP="00E82A6F">
            <w:pPr>
              <w:spacing w:after="0" w:line="240" w:lineRule="auto"/>
              <w:rPr>
                <w:rFonts w:eastAsia="Times New Roman" w:cstheme="minorHAnsi"/>
                <w:b/>
                <w:bCs/>
                <w:color w:val="FFFFFF" w:themeColor="background1"/>
                <w:sz w:val="18"/>
                <w:szCs w:val="20"/>
                <w:lang w:eastAsia="es-MX"/>
              </w:rPr>
            </w:pPr>
            <w:r>
              <w:rPr>
                <w:rFonts w:eastAsia="Times New Roman" w:cstheme="minorHAnsi"/>
                <w:b/>
                <w:bCs/>
                <w:color w:val="FFFFFF" w:themeColor="background1"/>
                <w:sz w:val="18"/>
                <w:szCs w:val="20"/>
                <w:lang w:eastAsia="es-MX"/>
              </w:rPr>
              <w:t>Valoración final</w:t>
            </w:r>
          </w:p>
        </w:tc>
        <w:tc>
          <w:tcPr>
            <w:tcW w:w="6138" w:type="dxa"/>
            <w:gridSpan w:val="2"/>
            <w:shd w:val="clear" w:color="auto" w:fill="auto"/>
            <w:noWrap/>
            <w:vAlign w:val="center"/>
            <w:hideMark/>
          </w:tcPr>
          <w:p w14:paraId="709BAF85" w14:textId="5A07B625" w:rsidR="006D0DD6" w:rsidRPr="00F603F9" w:rsidRDefault="00C56F75" w:rsidP="00E82A6F">
            <w:pPr>
              <w:spacing w:after="0" w:line="240" w:lineRule="auto"/>
              <w:jc w:val="center"/>
              <w:rPr>
                <w:rFonts w:eastAsia="Times New Roman" w:cstheme="minorHAnsi"/>
                <w:b/>
                <w:bCs/>
                <w:lang w:eastAsia="es-MX"/>
              </w:rPr>
            </w:pPr>
            <w:r>
              <w:rPr>
                <w:rFonts w:eastAsia="Times New Roman" w:cstheme="minorHAnsi"/>
                <w:b/>
                <w:bCs/>
                <w:lang w:eastAsia="es-MX"/>
              </w:rPr>
              <w:t>1.4</w:t>
            </w:r>
            <w:r w:rsidR="00C72107">
              <w:rPr>
                <w:rFonts w:eastAsia="Times New Roman" w:cstheme="minorHAnsi"/>
                <w:b/>
                <w:bCs/>
                <w:lang w:eastAsia="es-MX"/>
              </w:rPr>
              <w:t>9</w:t>
            </w:r>
          </w:p>
          <w:p w14:paraId="1FA9644D" w14:textId="77777777" w:rsidR="006D0DD6" w:rsidRDefault="006D0DD6" w:rsidP="00E82A6F">
            <w:pPr>
              <w:spacing w:after="0" w:line="240" w:lineRule="auto"/>
              <w:jc w:val="center"/>
              <w:rPr>
                <w:rFonts w:eastAsia="Times New Roman" w:cstheme="minorHAnsi"/>
                <w:color w:val="FFFFFF" w:themeColor="background1"/>
                <w:sz w:val="18"/>
                <w:szCs w:val="20"/>
                <w:lang w:eastAsia="es-MX"/>
              </w:rPr>
            </w:pPr>
          </w:p>
        </w:tc>
      </w:tr>
    </w:tbl>
    <w:p w14:paraId="21DB0FFF" w14:textId="77777777" w:rsidR="006D0DD6" w:rsidRPr="006D0DD6" w:rsidRDefault="006D0DD6" w:rsidP="006D0DD6">
      <w:pPr>
        <w:spacing w:after="0" w:line="240" w:lineRule="auto"/>
        <w:rPr>
          <w:b/>
          <w:sz w:val="10"/>
          <w:szCs w:val="10"/>
          <w:lang w:val="es-ES"/>
        </w:rPr>
      </w:pPr>
    </w:p>
    <w:p w14:paraId="5F0F735F" w14:textId="5E69F4A4" w:rsidR="006D0DD6" w:rsidRDefault="006D0DD6" w:rsidP="006D0DD6">
      <w:pPr>
        <w:spacing w:after="0" w:line="240" w:lineRule="auto"/>
        <w:rPr>
          <w:noProof/>
          <w:lang w:eastAsia="es-MX"/>
        </w:rPr>
      </w:pPr>
      <w:r w:rsidRPr="00591864">
        <w:rPr>
          <w:b/>
          <w:lang w:val="es-ES"/>
        </w:rPr>
        <w:t xml:space="preserve">Gráfica: Nivel Promedio por </w:t>
      </w:r>
      <w:r>
        <w:rPr>
          <w:b/>
          <w:lang w:val="es-ES"/>
        </w:rPr>
        <w:t>módulo</w:t>
      </w:r>
      <w:r w:rsidRPr="00591864">
        <w:rPr>
          <w:noProof/>
          <w:lang w:eastAsia="es-MX"/>
        </w:rPr>
        <w:t>:</w:t>
      </w:r>
    </w:p>
    <w:p w14:paraId="39115EDA" w14:textId="77777777" w:rsidR="006D0DD6" w:rsidRPr="006D0DD6" w:rsidRDefault="006D0DD6" w:rsidP="006D0DD6">
      <w:pPr>
        <w:spacing w:after="0" w:line="240" w:lineRule="auto"/>
        <w:rPr>
          <w:b/>
          <w:sz w:val="10"/>
          <w:szCs w:val="10"/>
          <w:lang w:val="es-ES"/>
        </w:rPr>
      </w:pPr>
    </w:p>
    <w:p w14:paraId="6EC9EF42" w14:textId="77777777" w:rsidR="006D0DD6" w:rsidRPr="003F2027" w:rsidRDefault="006D0DD6" w:rsidP="006D0DD6">
      <w:pPr>
        <w:jc w:val="center"/>
      </w:pPr>
      <w:r>
        <w:rPr>
          <w:noProof/>
          <w:lang w:eastAsia="es-MX"/>
        </w:rPr>
        <w:drawing>
          <wp:inline distT="0" distB="0" distL="0" distR="0" wp14:anchorId="53EC9875" wp14:editId="5F3FE5CA">
            <wp:extent cx="3743325" cy="2250143"/>
            <wp:effectExtent l="0" t="0" r="0" b="0"/>
            <wp:docPr id="1130090418"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4411" cy="2256807"/>
                    </a:xfrm>
                    <a:prstGeom prst="rect">
                      <a:avLst/>
                    </a:prstGeom>
                    <a:noFill/>
                  </pic:spPr>
                </pic:pic>
              </a:graphicData>
            </a:graphic>
          </wp:inline>
        </w:drawing>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7EDEEB84" w14:textId="4B64F099" w:rsidR="00C72107" w:rsidRDefault="00C72107" w:rsidP="00C72107">
      <w:pPr>
        <w:pStyle w:val="Prrafodelista"/>
        <w:numPr>
          <w:ilvl w:val="0"/>
          <w:numId w:val="2"/>
        </w:numPr>
        <w:spacing w:after="0" w:line="276" w:lineRule="auto"/>
        <w:jc w:val="both"/>
      </w:pPr>
      <w:r>
        <w:t>Elaborar un diagnóstico del programa donde presente el problema o necesidad pública que justifica el diseño del Pp.</w:t>
      </w:r>
    </w:p>
    <w:p w14:paraId="48FE3624" w14:textId="4DF50245" w:rsidR="00C72107" w:rsidRDefault="00C72107" w:rsidP="00C72107">
      <w:pPr>
        <w:pStyle w:val="Prrafodelista"/>
        <w:numPr>
          <w:ilvl w:val="0"/>
          <w:numId w:val="2"/>
        </w:numPr>
        <w:spacing w:after="0" w:line="276" w:lineRule="auto"/>
        <w:jc w:val="both"/>
      </w:pPr>
      <w:r>
        <w:t>Elaborar un documento normativo que contengan información sobre el problema o necesidad pública que busca atender, así como sobre su población potencial y objetivo, y su cuantificación.</w:t>
      </w:r>
    </w:p>
    <w:p w14:paraId="5B6FE169" w14:textId="3F12C3F9" w:rsidR="00C72107" w:rsidRDefault="00C72107" w:rsidP="00C72107">
      <w:pPr>
        <w:pStyle w:val="Prrafodelista"/>
        <w:numPr>
          <w:ilvl w:val="0"/>
          <w:numId w:val="2"/>
        </w:numPr>
        <w:spacing w:after="0" w:line="276" w:lineRule="auto"/>
        <w:jc w:val="both"/>
      </w:pPr>
      <w:r>
        <w:t>Elaborar un documento normativo que contengan información sobre el tipo de intervención seleccionada y que hayan sido consideradas para el diseño del Pp.</w:t>
      </w:r>
    </w:p>
    <w:p w14:paraId="6E276D48" w14:textId="24A73E6E" w:rsidR="00C72107" w:rsidRDefault="00C72107" w:rsidP="00C72107">
      <w:pPr>
        <w:pStyle w:val="Prrafodelista"/>
        <w:numPr>
          <w:ilvl w:val="0"/>
          <w:numId w:val="2"/>
        </w:numPr>
        <w:spacing w:after="0" w:line="276" w:lineRule="auto"/>
        <w:jc w:val="both"/>
      </w:pPr>
      <w:r>
        <w:t>Elaborar un reporte que contenga información que permite conocer a la población atendida.</w:t>
      </w:r>
    </w:p>
    <w:p w14:paraId="799851D2" w14:textId="3C2330E9" w:rsidR="00C72107" w:rsidRDefault="00C72107" w:rsidP="00C72107">
      <w:pPr>
        <w:pStyle w:val="Prrafodelista"/>
        <w:numPr>
          <w:ilvl w:val="0"/>
          <w:numId w:val="2"/>
        </w:numPr>
        <w:spacing w:after="0" w:line="276" w:lineRule="auto"/>
        <w:jc w:val="both"/>
      </w:pPr>
      <w:r>
        <w:t xml:space="preserve">Elaborar un ISD, es decir una Matriz de Indicadores para Resultados (MIR) y publicarla en el </w:t>
      </w:r>
      <w:r w:rsidRPr="00C72107">
        <w:t>Tomo IV de la Ley de Ingresos y Presupuesto de Egresos del Estado de Sinaloa</w:t>
      </w:r>
      <w:r>
        <w:t>.</w:t>
      </w:r>
    </w:p>
    <w:p w14:paraId="6387F06E" w14:textId="604DC1D5" w:rsidR="00C72107" w:rsidRDefault="00C72107" w:rsidP="00C72107">
      <w:pPr>
        <w:pStyle w:val="Prrafodelista"/>
        <w:numPr>
          <w:ilvl w:val="0"/>
          <w:numId w:val="2"/>
        </w:numPr>
        <w:spacing w:after="0" w:line="276" w:lineRule="auto"/>
        <w:jc w:val="both"/>
      </w:pPr>
      <w:r>
        <w:t>Elaborar las fichas técnicas de los indicadores, así como el respectivo árbol del problema, árbol de objetivos y selección de alternativas.</w:t>
      </w:r>
    </w:p>
    <w:p w14:paraId="632306B6" w14:textId="0C609648" w:rsidR="00C72107" w:rsidRDefault="00C72107" w:rsidP="00C72107">
      <w:pPr>
        <w:pStyle w:val="Prrafodelista"/>
        <w:numPr>
          <w:ilvl w:val="0"/>
          <w:numId w:val="2"/>
        </w:numPr>
        <w:spacing w:after="0" w:line="276" w:lineRule="auto"/>
        <w:jc w:val="both"/>
      </w:pPr>
      <w:r>
        <w:t>Crear una estrategia de cobertura para la atención de la población potencial y objetivo del Pp.</w:t>
      </w:r>
    </w:p>
    <w:p w14:paraId="51C54E8E" w14:textId="6AFD2425" w:rsidR="00C72107" w:rsidRDefault="00C72107" w:rsidP="00C72107">
      <w:pPr>
        <w:pStyle w:val="Prrafodelista"/>
        <w:numPr>
          <w:ilvl w:val="0"/>
          <w:numId w:val="2"/>
        </w:numPr>
        <w:spacing w:after="0" w:line="276" w:lineRule="auto"/>
        <w:jc w:val="both"/>
      </w:pPr>
      <w:r>
        <w:t>Proceder a la publicación y divulgación de los manuales de procedimientos del Pp.</w:t>
      </w:r>
    </w:p>
    <w:p w14:paraId="196380A5" w14:textId="2AED41AC" w:rsidR="00C72107" w:rsidRDefault="00C72107" w:rsidP="00C72107">
      <w:pPr>
        <w:pStyle w:val="Prrafodelista"/>
        <w:numPr>
          <w:ilvl w:val="0"/>
          <w:numId w:val="2"/>
        </w:numPr>
        <w:spacing w:after="0" w:line="276" w:lineRule="auto"/>
        <w:jc w:val="both"/>
      </w:pPr>
      <w:r>
        <w:t>Implementar un instrumento para medir el grado de satisfacción de la población atendida.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3AD552AC" w:rsidR="007C4CD6" w:rsidRPr="00521401" w:rsidRDefault="00C72107" w:rsidP="00521401">
            <w:pPr>
              <w:spacing w:after="0" w:line="276" w:lineRule="auto"/>
              <w:ind w:left="179"/>
            </w:pPr>
            <w:r>
              <w:t>Seguridad Vial</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1189BC96" w:rsidR="007C4CD6" w:rsidRPr="007C4CD6" w:rsidRDefault="00C72107" w:rsidP="00521401">
            <w:pPr>
              <w:spacing w:after="0" w:line="276" w:lineRule="auto"/>
              <w:ind w:left="179"/>
            </w:pPr>
            <w:r>
              <w:t>SV</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2A7E56EA" w:rsidR="007C4CD6" w:rsidRPr="007C4CD6" w:rsidRDefault="00C72107" w:rsidP="00521401">
            <w:pPr>
              <w:spacing w:after="0" w:line="276" w:lineRule="auto"/>
              <w:ind w:left="179"/>
            </w:pPr>
            <w:r>
              <w:t>Secretaría General de Gobierno</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lastRenderedPageBreak/>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4BD90C39" w:rsidR="005A28B9" w:rsidRPr="00A16BE7" w:rsidRDefault="00C72107"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3C6695">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51B39F41" w:rsidR="00090637" w:rsidRPr="00090637" w:rsidRDefault="003C6695"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344EFA">
        <w:trPr>
          <w:trHeight w:val="340"/>
        </w:trPr>
        <w:tc>
          <w:tcPr>
            <w:tcW w:w="9910" w:type="dxa"/>
            <w:gridSpan w:val="3"/>
            <w:shd w:val="clear" w:color="auto" w:fill="auto"/>
          </w:tcPr>
          <w:p w14:paraId="7091B8EA" w14:textId="7FE14CCC" w:rsidR="005065B9" w:rsidRPr="00521401" w:rsidRDefault="00FE533F" w:rsidP="005065B9">
            <w:pPr>
              <w:spacing w:after="0" w:line="276" w:lineRule="auto"/>
              <w:ind w:left="179"/>
            </w:pPr>
            <w:r>
              <w:t>Marco Antonio Osuna Moreno</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FE533F">
        <w:trPr>
          <w:trHeight w:val="340"/>
        </w:trPr>
        <w:tc>
          <w:tcPr>
            <w:tcW w:w="9910" w:type="dxa"/>
            <w:gridSpan w:val="3"/>
            <w:shd w:val="clear" w:color="auto" w:fill="auto"/>
          </w:tcPr>
          <w:p w14:paraId="54E4AA94" w14:textId="18C47193" w:rsidR="00A4624B" w:rsidRPr="007301C5" w:rsidRDefault="000628D4" w:rsidP="00A4624B">
            <w:pPr>
              <w:spacing w:after="0" w:line="276" w:lineRule="auto"/>
              <w:ind w:left="179"/>
            </w:pPr>
            <w:hyperlink r:id="rId10" w:history="1">
              <w:r w:rsidRPr="00E71AD7">
                <w:rPr>
                  <w:rStyle w:val="Hipervnculo"/>
                </w:rPr>
                <w:t>Marco.osuna@sinaloa.gob.mx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3C6695" w:rsidRDefault="00A753A2" w:rsidP="006F4B1F">
            <w:pPr>
              <w:pStyle w:val="Prrafodelista"/>
              <w:numPr>
                <w:ilvl w:val="2"/>
                <w:numId w:val="14"/>
              </w:numPr>
              <w:spacing w:after="0" w:line="276" w:lineRule="auto"/>
              <w:ind w:left="981" w:hanging="624"/>
              <w:rPr>
                <w:rFonts w:eastAsia="Times New Roman"/>
                <w:b/>
                <w:color w:val="000000"/>
                <w:lang w:eastAsia="es-MX"/>
              </w:rPr>
            </w:pPr>
            <w:r w:rsidRPr="003C6695">
              <w:rPr>
                <w:rFonts w:eastAsia="Times New Roman"/>
                <w:b/>
                <w:color w:val="000000"/>
                <w:lang w:eastAsia="es-MX"/>
              </w:rPr>
              <w:t>Unidad Administrativa:</w:t>
            </w:r>
          </w:p>
        </w:tc>
      </w:tr>
      <w:tr w:rsidR="004E1FF7" w14:paraId="3C5D9DC6" w14:textId="77777777" w:rsidTr="003C6695">
        <w:trPr>
          <w:trHeight w:val="340"/>
        </w:trPr>
        <w:tc>
          <w:tcPr>
            <w:tcW w:w="9910" w:type="dxa"/>
            <w:gridSpan w:val="3"/>
            <w:shd w:val="clear" w:color="auto" w:fill="auto"/>
            <w:vAlign w:val="center"/>
          </w:tcPr>
          <w:p w14:paraId="138DA773" w14:textId="19750F84" w:rsidR="004E1FF7" w:rsidRPr="003C6695" w:rsidRDefault="003C6695" w:rsidP="004E1FF7">
            <w:pPr>
              <w:spacing w:after="0" w:line="276" w:lineRule="auto"/>
              <w:ind w:left="179"/>
            </w:pPr>
            <w:r>
              <w:t>Dirección de Vialidad y Transportes</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3C6695" w:rsidRDefault="004E1FF7" w:rsidP="004E1FF7">
            <w:pPr>
              <w:pStyle w:val="Prrafodelista"/>
              <w:numPr>
                <w:ilvl w:val="2"/>
                <w:numId w:val="14"/>
              </w:numPr>
              <w:spacing w:after="0" w:line="276" w:lineRule="auto"/>
              <w:ind w:left="981" w:hanging="624"/>
              <w:rPr>
                <w:rFonts w:eastAsia="Times New Roman"/>
                <w:b/>
                <w:color w:val="000000"/>
                <w:lang w:eastAsia="es-MX"/>
              </w:rPr>
            </w:pPr>
            <w:r w:rsidRPr="003C6695">
              <w:rPr>
                <w:rFonts w:eastAsia="Times New Roman"/>
                <w:b/>
                <w:color w:val="000000"/>
                <w:lang w:eastAsia="es-MX"/>
              </w:rPr>
              <w:t>Teléfono con clave lada:</w:t>
            </w:r>
          </w:p>
        </w:tc>
      </w:tr>
      <w:tr w:rsidR="004E1FF7" w14:paraId="49F6EF2F" w14:textId="77777777" w:rsidTr="00A1037B">
        <w:trPr>
          <w:trHeight w:val="340"/>
        </w:trPr>
        <w:tc>
          <w:tcPr>
            <w:tcW w:w="9910" w:type="dxa"/>
            <w:gridSpan w:val="3"/>
            <w:shd w:val="clear" w:color="auto" w:fill="auto"/>
          </w:tcPr>
          <w:p w14:paraId="6F19C066" w14:textId="6268EC01" w:rsidR="004E1FF7" w:rsidRPr="007301C5" w:rsidRDefault="00A1037B" w:rsidP="00A1037B">
            <w:pPr>
              <w:tabs>
                <w:tab w:val="left" w:pos="2145"/>
              </w:tabs>
              <w:spacing w:after="0" w:line="276" w:lineRule="auto"/>
              <w:ind w:left="179"/>
            </w:pPr>
            <w:r>
              <w:t>(</w:t>
            </w:r>
            <w:r w:rsidR="003C6695">
              <w:t>667</w:t>
            </w:r>
            <w:r>
              <w:t>)</w:t>
            </w:r>
            <w:r w:rsidR="003C6695">
              <w:t xml:space="preserve"> 758 70 00</w:t>
            </w:r>
            <w:r>
              <w:t xml:space="preserve"> Ext. 2803</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C72107" w14:paraId="4305D4C3" w14:textId="77777777" w:rsidTr="00C61D21">
        <w:trPr>
          <w:trHeight w:val="340"/>
        </w:trPr>
        <w:tc>
          <w:tcPr>
            <w:tcW w:w="9910" w:type="dxa"/>
            <w:gridSpan w:val="4"/>
            <w:shd w:val="clear" w:color="auto" w:fill="auto"/>
            <w:vAlign w:val="center"/>
          </w:tcPr>
          <w:p w14:paraId="334040E1" w14:textId="52A5488F" w:rsidR="00C72107" w:rsidRPr="00866990" w:rsidRDefault="00C72107" w:rsidP="00C72107">
            <w:pPr>
              <w:spacing w:after="0" w:line="276" w:lineRule="auto"/>
              <w:ind w:left="179"/>
            </w:pPr>
            <w:r w:rsidRPr="00AD0D3A">
              <w:t>La Dirección de Evaluación adscrita a la Subsecretaría de Planeación, Inversión y Financiamiento de la Secretaría de Administración y Finanzas, Gobierno del Estado de Sinaloa fue la instancia evaluadora de la presente evaluación</w:t>
            </w:r>
          </w:p>
        </w:tc>
      </w:tr>
      <w:tr w:rsidR="00C7210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C72107" w:rsidRPr="00866990" w:rsidRDefault="00C72107" w:rsidP="00C72107">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C72107" w14:paraId="5CBDEAA7" w14:textId="77777777" w:rsidTr="00C61D21">
        <w:trPr>
          <w:trHeight w:val="340"/>
        </w:trPr>
        <w:tc>
          <w:tcPr>
            <w:tcW w:w="9910" w:type="dxa"/>
            <w:gridSpan w:val="4"/>
            <w:shd w:val="clear" w:color="auto" w:fill="auto"/>
            <w:vAlign w:val="center"/>
          </w:tcPr>
          <w:p w14:paraId="2A2EB40C" w14:textId="2A891F38" w:rsidR="00C72107" w:rsidRPr="00866990" w:rsidRDefault="00C72107" w:rsidP="00C72107">
            <w:pPr>
              <w:spacing w:after="0" w:line="276" w:lineRule="auto"/>
              <w:ind w:left="179"/>
            </w:pPr>
            <w:r w:rsidRPr="00AD0D3A">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C7210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C72107" w:rsidRPr="00866990" w:rsidRDefault="00C72107" w:rsidP="00C72107">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C72107" w:rsidRPr="004C435E" w14:paraId="0EF2F8FE" w14:textId="77777777" w:rsidTr="004C435E">
        <w:trPr>
          <w:trHeight w:val="340"/>
        </w:trPr>
        <w:tc>
          <w:tcPr>
            <w:tcW w:w="9910" w:type="dxa"/>
            <w:gridSpan w:val="4"/>
            <w:shd w:val="clear" w:color="auto" w:fill="auto"/>
            <w:vAlign w:val="center"/>
          </w:tcPr>
          <w:p w14:paraId="7D64613A" w14:textId="463905A2" w:rsidR="00C72107" w:rsidRPr="00866990" w:rsidRDefault="00C72107" w:rsidP="00C72107">
            <w:pPr>
              <w:spacing w:after="0" w:line="276" w:lineRule="auto"/>
              <w:ind w:left="179"/>
            </w:pPr>
            <w:r w:rsidRPr="00AD0D3A">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0154" w14:textId="77777777" w:rsidR="00740E10" w:rsidRDefault="00740E10" w:rsidP="008E5209">
      <w:pPr>
        <w:spacing w:after="0" w:line="240" w:lineRule="auto"/>
      </w:pPr>
      <w:r>
        <w:separator/>
      </w:r>
    </w:p>
  </w:endnote>
  <w:endnote w:type="continuationSeparator" w:id="0">
    <w:p w14:paraId="083D3E7D" w14:textId="77777777" w:rsidR="00740E10" w:rsidRDefault="00740E1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2BEF159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136A0">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631714AC"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C6695" w:rsidRPr="003C6695">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C27D" w14:textId="77777777" w:rsidR="00740E10" w:rsidRDefault="00740E10" w:rsidP="008E5209">
      <w:pPr>
        <w:spacing w:after="0" w:line="240" w:lineRule="auto"/>
      </w:pPr>
      <w:r>
        <w:separator/>
      </w:r>
    </w:p>
  </w:footnote>
  <w:footnote w:type="continuationSeparator" w:id="0">
    <w:p w14:paraId="7E815D5B" w14:textId="77777777" w:rsidR="00740E10" w:rsidRDefault="00740E1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D42D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6847739" o:spid="_x0000_i1025" type="#_x0000_t75" style="width:567pt;height:595.5pt;visibility:visible;mso-wrap-style:square">
            <v:imagedata r:id="rId1" o:title=""/>
          </v:shape>
        </w:pict>
      </mc:Choice>
      <mc:Fallback>
        <w:drawing>
          <wp:inline distT="0" distB="0" distL="0" distR="0" wp14:anchorId="6A79BE97">
            <wp:extent cx="7200900" cy="7562850"/>
            <wp:effectExtent l="0" t="0" r="0" b="0"/>
            <wp:docPr id="136847739" name="Imagen 136847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0" cy="7562850"/>
                    </a:xfrm>
                    <a:prstGeom prst="rect">
                      <a:avLst/>
                    </a:prstGeom>
                    <a:noFill/>
                    <a:ln>
                      <a:noFill/>
                    </a:ln>
                  </pic:spPr>
                </pic:pic>
              </a:graphicData>
            </a:graphic>
          </wp:inline>
        </w:drawing>
      </mc:Fallback>
    </mc:AlternateContent>
  </w:numPicBullet>
  <w:numPicBullet w:numPicBulletId="1">
    <mc:AlternateContent>
      <mc:Choice Requires="v">
        <w:pict>
          <v:shape w14:anchorId="5C94CA77" id="Imagen 1198169459" o:spid="_x0000_i1025" type="#_x0000_t75" style="width:282pt;height:297pt;visibility:visible;mso-wrap-style:square">
            <v:imagedata r:id="rId3" o:title=""/>
          </v:shape>
        </w:pict>
      </mc:Choice>
      <mc:Fallback>
        <w:drawing>
          <wp:inline distT="0" distB="0" distL="0" distR="0" wp14:anchorId="5BBEC7E8">
            <wp:extent cx="3581400" cy="3771900"/>
            <wp:effectExtent l="0" t="0" r="0" b="0"/>
            <wp:docPr id="1198169459" name="Imagen 119816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1400" cy="3771900"/>
                    </a:xfrm>
                    <a:prstGeom prst="rect">
                      <a:avLst/>
                    </a:prstGeom>
                    <a:noFill/>
                    <a:ln>
                      <a:noFill/>
                    </a:ln>
                  </pic:spPr>
                </pic:pic>
              </a:graphicData>
            </a:graphic>
          </wp:inline>
        </w:drawing>
      </mc:Fallback>
    </mc:AlternateConten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2564"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673386392">
    <w:abstractNumId w:val="23"/>
  </w:num>
  <w:num w:numId="2" w16cid:durableId="1524781739">
    <w:abstractNumId w:val="21"/>
  </w:num>
  <w:num w:numId="3" w16cid:durableId="1296760834">
    <w:abstractNumId w:val="7"/>
  </w:num>
  <w:num w:numId="4" w16cid:durableId="859859814">
    <w:abstractNumId w:val="19"/>
  </w:num>
  <w:num w:numId="5" w16cid:durableId="1480995001">
    <w:abstractNumId w:val="2"/>
    <w:lvlOverride w:ilvl="1">
      <w:lvl w:ilvl="1">
        <w:start w:val="1"/>
        <w:numFmt w:val="decimal"/>
        <w:lvlText w:val="%1.%2."/>
        <w:lvlJc w:val="left"/>
        <w:pPr>
          <w:ind w:left="792" w:hanging="432"/>
        </w:pPr>
        <w:rPr>
          <w:b/>
        </w:rPr>
      </w:lvl>
    </w:lvlOverride>
  </w:num>
  <w:num w:numId="6" w16cid:durableId="452283429">
    <w:abstractNumId w:val="27"/>
  </w:num>
  <w:num w:numId="7" w16cid:durableId="843668877">
    <w:abstractNumId w:val="28"/>
  </w:num>
  <w:num w:numId="8" w16cid:durableId="837620238">
    <w:abstractNumId w:val="29"/>
  </w:num>
  <w:num w:numId="9" w16cid:durableId="338504650">
    <w:abstractNumId w:val="20"/>
  </w:num>
  <w:num w:numId="10" w16cid:durableId="221528718">
    <w:abstractNumId w:val="12"/>
  </w:num>
  <w:num w:numId="11" w16cid:durableId="835149387">
    <w:abstractNumId w:val="14"/>
  </w:num>
  <w:num w:numId="12" w16cid:durableId="2022926268">
    <w:abstractNumId w:val="26"/>
  </w:num>
  <w:num w:numId="13" w16cid:durableId="393628937">
    <w:abstractNumId w:val="25"/>
  </w:num>
  <w:num w:numId="14" w16cid:durableId="1575704956">
    <w:abstractNumId w:val="22"/>
  </w:num>
  <w:num w:numId="15" w16cid:durableId="752706593">
    <w:abstractNumId w:val="16"/>
  </w:num>
  <w:num w:numId="16" w16cid:durableId="2060087447">
    <w:abstractNumId w:val="4"/>
  </w:num>
  <w:num w:numId="17" w16cid:durableId="2041784869">
    <w:abstractNumId w:val="6"/>
  </w:num>
  <w:num w:numId="18" w16cid:durableId="1051732575">
    <w:abstractNumId w:val="17"/>
  </w:num>
  <w:num w:numId="19" w16cid:durableId="1252279514">
    <w:abstractNumId w:val="15"/>
  </w:num>
  <w:num w:numId="20" w16cid:durableId="1702366311">
    <w:abstractNumId w:val="5"/>
  </w:num>
  <w:num w:numId="21" w16cid:durableId="953747971">
    <w:abstractNumId w:val="3"/>
  </w:num>
  <w:num w:numId="22" w16cid:durableId="1947686597">
    <w:abstractNumId w:val="13"/>
  </w:num>
  <w:num w:numId="23" w16cid:durableId="2145460580">
    <w:abstractNumId w:val="24"/>
  </w:num>
  <w:num w:numId="24" w16cid:durableId="188377134">
    <w:abstractNumId w:val="11"/>
  </w:num>
  <w:num w:numId="25" w16cid:durableId="379405516">
    <w:abstractNumId w:val="18"/>
  </w:num>
  <w:num w:numId="26" w16cid:durableId="1665738198">
    <w:abstractNumId w:val="8"/>
  </w:num>
  <w:num w:numId="27" w16cid:durableId="1125151866">
    <w:abstractNumId w:val="10"/>
  </w:num>
  <w:num w:numId="28" w16cid:durableId="1339507640">
    <w:abstractNumId w:val="0"/>
  </w:num>
  <w:num w:numId="29" w16cid:durableId="888423817">
    <w:abstractNumId w:val="9"/>
  </w:num>
  <w:num w:numId="30" w16cid:durableId="205946889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28D4"/>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E76CB"/>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4EED"/>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09B9"/>
    <w:rsid w:val="002F378E"/>
    <w:rsid w:val="00316A9C"/>
    <w:rsid w:val="00316C41"/>
    <w:rsid w:val="00317E75"/>
    <w:rsid w:val="00323621"/>
    <w:rsid w:val="00324151"/>
    <w:rsid w:val="00325565"/>
    <w:rsid w:val="003270DD"/>
    <w:rsid w:val="00330134"/>
    <w:rsid w:val="00331966"/>
    <w:rsid w:val="00332B71"/>
    <w:rsid w:val="00332B81"/>
    <w:rsid w:val="00342BB1"/>
    <w:rsid w:val="00344EFA"/>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C6695"/>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0DD6"/>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0E1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136A0"/>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A6F41"/>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037B"/>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5415"/>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56F75"/>
    <w:rsid w:val="00C61D21"/>
    <w:rsid w:val="00C63D2B"/>
    <w:rsid w:val="00C66011"/>
    <w:rsid w:val="00C72107"/>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14CF"/>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 w:val="00FE533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062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co.osuna@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186B-E610-47E6-A7AF-189BDBC4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TotalTime>
  <Pages>5</Pages>
  <Words>1698</Words>
  <Characters>9342</Characters>
  <Application>Microsoft Office Word</Application>
  <DocSecurity>0</DocSecurity>
  <Lines>77</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4</cp:revision>
  <cp:lastPrinted>2022-06-17T19:35:00Z</cp:lastPrinted>
  <dcterms:created xsi:type="dcterms:W3CDTF">2025-04-08T18:31:00Z</dcterms:created>
  <dcterms:modified xsi:type="dcterms:W3CDTF">2025-04-08T19:37:00Z</dcterms:modified>
</cp:coreProperties>
</file>